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E486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A Practical Guide to Fund Development – Self-Assessment Worksheet</w:t>
      </w:r>
    </w:p>
    <w:p w14:paraId="206CCD29" w14:textId="77777777" w:rsidR="00565283" w:rsidRDefault="00565283" w:rsidP="00565283">
      <w:pPr>
        <w:rPr>
          <w:i/>
          <w:iCs/>
        </w:rPr>
      </w:pPr>
      <w:r w:rsidRPr="00565283">
        <w:rPr>
          <w:i/>
          <w:iCs/>
        </w:rPr>
        <w:t>B-PAP Grantee Convening – Wichita (July 17, 2025)</w:t>
      </w:r>
    </w:p>
    <w:p w14:paraId="14D0E906" w14:textId="77777777" w:rsidR="00565283" w:rsidRPr="00565283" w:rsidRDefault="00565283" w:rsidP="00565283"/>
    <w:p w14:paraId="0E002833" w14:textId="77777777" w:rsidR="00565283" w:rsidRDefault="00565283" w:rsidP="00565283">
      <w:r w:rsidRPr="00565283">
        <w:t xml:space="preserve">Use this worksheet to reflect on your organization’s fund development capacity across six key domains. For each statement below, rate your current status on a scale from </w:t>
      </w:r>
      <w:r w:rsidRPr="00565283">
        <w:rPr>
          <w:b/>
          <w:bCs/>
        </w:rPr>
        <w:t>1 (needs strengthening)</w:t>
      </w:r>
      <w:r w:rsidRPr="00565283">
        <w:t xml:space="preserve"> to </w:t>
      </w:r>
      <w:r w:rsidRPr="00565283">
        <w:rPr>
          <w:b/>
          <w:bCs/>
        </w:rPr>
        <w:t>5 (excellent)</w:t>
      </w:r>
      <w:r w:rsidRPr="00565283">
        <w:t xml:space="preserve">. Jot down notes or examples to support your rating. </w:t>
      </w:r>
      <w:r w:rsidRPr="00565283">
        <w:rPr>
          <w:i/>
          <w:iCs/>
        </w:rPr>
        <w:t>(Remember, there are no “wrong” answers – the goal is to spark honest discussion and ideas for improvemen</w:t>
      </w:r>
      <w:r>
        <w:rPr>
          <w:i/>
          <w:iCs/>
        </w:rPr>
        <w:t>t</w:t>
      </w:r>
      <w:r w:rsidRPr="00565283">
        <w:rPr>
          <w:i/>
          <w:iCs/>
        </w:rPr>
        <w:t>)</w:t>
      </w:r>
      <w:r w:rsidRPr="00565283">
        <w:t xml:space="preserve"> </w:t>
      </w:r>
    </w:p>
    <w:p w14:paraId="6867EC35" w14:textId="77777777" w:rsidR="00565283" w:rsidRDefault="00565283" w:rsidP="00565283"/>
    <w:p w14:paraId="090767A1" w14:textId="3712D451" w:rsidR="00565283" w:rsidRPr="00565283" w:rsidRDefault="00565283" w:rsidP="00565283">
      <w:r w:rsidRPr="00565283">
        <w:t xml:space="preserve">After assessing all six areas, conclude by identifying one practical </w:t>
      </w:r>
      <w:r w:rsidRPr="00565283">
        <w:rPr>
          <w:b/>
          <w:bCs/>
        </w:rPr>
        <w:t>30-day experiment</w:t>
      </w:r>
      <w:r w:rsidRPr="00565283">
        <w:t xml:space="preserve"> or next step your team will take to boost your fund development capacity.</w:t>
      </w:r>
      <w:r>
        <w:br/>
      </w:r>
    </w:p>
    <w:p w14:paraId="7C1F34C5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1. Mission Clarity</w:t>
      </w:r>
    </w:p>
    <w:p w14:paraId="54386CFD" w14:textId="77777777" w:rsidR="00565283" w:rsidRPr="00565283" w:rsidRDefault="00565283" w:rsidP="00565283">
      <w:pPr>
        <w:numPr>
          <w:ilvl w:val="0"/>
          <w:numId w:val="3"/>
        </w:numPr>
      </w:pPr>
      <w:r w:rsidRPr="00565283">
        <w:rPr>
          <w:b/>
          <w:bCs/>
        </w:rPr>
        <w:t>Our mission is clear, compelling, and guides our fundraising efforts.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13BA16AE" w14:textId="3D7A58F4" w:rsidR="00565283" w:rsidRPr="00565283" w:rsidRDefault="00565283" w:rsidP="00565283">
      <w:pPr>
        <w:numPr>
          <w:ilvl w:val="0"/>
          <w:numId w:val="3"/>
        </w:numPr>
      </w:pPr>
      <w:r w:rsidRPr="00565283">
        <w:rPr>
          <w:b/>
          <w:bCs/>
        </w:rPr>
        <w:t>Everyone on our team (staff and board) can articulate our mission and the impact of our work.</w:t>
      </w:r>
      <w:r w:rsidRPr="00565283">
        <w:t xml:space="preserve"> </w:t>
      </w:r>
      <w:r w:rsidRPr="00565283">
        <w:rPr>
          <w:i/>
          <w:iCs/>
        </w:rPr>
        <w:t>(Is your team aligned and able to tell others what you do and why it matters?)</w:t>
      </w:r>
      <w:r w:rsidRPr="00565283">
        <w:t xml:space="preserve"> 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6504D2D9" w14:textId="77777777" w:rsidR="00565283" w:rsidRPr="00565283" w:rsidRDefault="00565283" w:rsidP="00565283">
      <w:pPr>
        <w:numPr>
          <w:ilvl w:val="0"/>
          <w:numId w:val="3"/>
        </w:numPr>
      </w:pPr>
      <w:r w:rsidRPr="00565283">
        <w:rPr>
          <w:b/>
          <w:bCs/>
        </w:rPr>
        <w:t>Our programs and fundraising strategies align with our mission and values.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0519AD2C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2. Data Infrastructure</w:t>
      </w:r>
    </w:p>
    <w:p w14:paraId="45151866" w14:textId="4730B300" w:rsidR="00565283" w:rsidRPr="00565283" w:rsidRDefault="00565283" w:rsidP="00565283">
      <w:pPr>
        <w:numPr>
          <w:ilvl w:val="0"/>
          <w:numId w:val="4"/>
        </w:numPr>
      </w:pPr>
      <w:r w:rsidRPr="00565283">
        <w:rPr>
          <w:b/>
          <w:bCs/>
        </w:rPr>
        <w:t>We have systems in place (database or spreadsheets) to track donor information and donations.</w:t>
      </w:r>
      <w:r w:rsidRPr="00565283">
        <w:t xml:space="preserve"> </w:t>
      </w:r>
      <w:r w:rsidRPr="00565283">
        <w:rPr>
          <w:i/>
          <w:iCs/>
        </w:rPr>
        <w:t>(A good donor management system or CRM helps maintain a centralized record of supporters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5555C95C" w14:textId="589A4C06" w:rsidR="00565283" w:rsidRPr="00565283" w:rsidRDefault="00565283" w:rsidP="00565283">
      <w:pPr>
        <w:numPr>
          <w:ilvl w:val="0"/>
          <w:numId w:val="4"/>
        </w:numPr>
      </w:pPr>
      <w:r w:rsidRPr="00565283">
        <w:rPr>
          <w:b/>
          <w:bCs/>
        </w:rPr>
        <w:t>We regularly use data (e.g. giving history, campaign results) to inform our fundraising strategies.</w:t>
      </w:r>
      <w:r w:rsidRPr="00565283">
        <w:t xml:space="preserve"> </w:t>
      </w:r>
      <w:r w:rsidRPr="00565283">
        <w:rPr>
          <w:i/>
          <w:iCs/>
        </w:rPr>
        <w:t>(Tracking metrics like donor retention or fundraising results helps with continuous improvement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571AB320" w14:textId="77777777" w:rsidR="00565283" w:rsidRPr="00565283" w:rsidRDefault="00565283" w:rsidP="00565283">
      <w:pPr>
        <w:numPr>
          <w:ilvl w:val="0"/>
          <w:numId w:val="4"/>
        </w:numPr>
      </w:pPr>
      <w:r w:rsidRPr="00565283">
        <w:rPr>
          <w:b/>
          <w:bCs/>
        </w:rPr>
        <w:t>We have clear processes to acknowledge contributions and keep donor records up-to-date.</w:t>
      </w:r>
      <w:r w:rsidRPr="00565283">
        <w:t xml:space="preserve"> </w:t>
      </w:r>
      <w:r w:rsidRPr="00565283">
        <w:rPr>
          <w:i/>
          <w:iCs/>
        </w:rPr>
        <w:t>(For example, promptly sending thank-you letters and updating donation logs.)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3656B143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3. Partnership Reach</w:t>
      </w:r>
    </w:p>
    <w:p w14:paraId="36DB1AA0" w14:textId="12435FC7" w:rsidR="00565283" w:rsidRPr="00565283" w:rsidRDefault="00565283" w:rsidP="00565283">
      <w:pPr>
        <w:numPr>
          <w:ilvl w:val="0"/>
          <w:numId w:val="5"/>
        </w:numPr>
      </w:pPr>
      <w:r w:rsidRPr="00565283">
        <w:rPr>
          <w:b/>
          <w:bCs/>
        </w:rPr>
        <w:t>We collaborate with other organizations or community groups to broaden our reach and resources.</w:t>
      </w:r>
      <w:r w:rsidRPr="00565283">
        <w:t xml:space="preserve"> </w:t>
      </w:r>
      <w:r w:rsidRPr="00565283">
        <w:rPr>
          <w:i/>
          <w:iCs/>
        </w:rPr>
        <w:t>(Strategic collaborations can help us reach a wider audience and leverage each other’s networks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0E994A50" w14:textId="77777777" w:rsidR="00565283" w:rsidRPr="00565283" w:rsidRDefault="00565283" w:rsidP="00565283">
      <w:pPr>
        <w:numPr>
          <w:ilvl w:val="0"/>
          <w:numId w:val="5"/>
        </w:numPr>
      </w:pPr>
      <w:r w:rsidRPr="00565283">
        <w:rPr>
          <w:b/>
          <w:bCs/>
        </w:rPr>
        <w:t>Our organization has relationships with key community leaders, allies, or businesses who support our cause.</w:t>
      </w:r>
      <w:r w:rsidRPr="00565283">
        <w:t xml:space="preserve"> </w:t>
      </w:r>
      <w:r w:rsidRPr="00565283">
        <w:rPr>
          <w:i/>
          <w:iCs/>
        </w:rPr>
        <w:t>(These partners can champion our mission or open doors to new funding opportunities.)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29C49EE7" w14:textId="078E5BC8" w:rsidR="00565283" w:rsidRPr="00565283" w:rsidRDefault="00565283" w:rsidP="00565283">
      <w:pPr>
        <w:numPr>
          <w:ilvl w:val="0"/>
          <w:numId w:val="5"/>
        </w:numPr>
      </w:pPr>
      <w:r w:rsidRPr="00565283">
        <w:rPr>
          <w:b/>
          <w:bCs/>
        </w:rPr>
        <w:lastRenderedPageBreak/>
        <w:t>We engage partners in our fundraising efforts (e.g. co-hosting events, sponsorships, referrals).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7710D476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4. Donor/Funder Pipeline</w:t>
      </w:r>
    </w:p>
    <w:p w14:paraId="5BB3BD2F" w14:textId="129DA97C" w:rsidR="00565283" w:rsidRPr="00565283" w:rsidRDefault="00565283" w:rsidP="00565283">
      <w:pPr>
        <w:numPr>
          <w:ilvl w:val="0"/>
          <w:numId w:val="6"/>
        </w:numPr>
      </w:pPr>
      <w:r w:rsidRPr="00565283">
        <w:rPr>
          <w:b/>
          <w:bCs/>
        </w:rPr>
        <w:t>We maintain a list of prospective donors and funders and update it regularly.</w:t>
      </w:r>
      <w:r w:rsidRPr="00565283">
        <w:t xml:space="preserve"> </w:t>
      </w:r>
      <w:r w:rsidRPr="00565283">
        <w:rPr>
          <w:i/>
          <w:iCs/>
        </w:rPr>
        <w:t>(It’s important to have a pool of potential supporters – individuals, businesses, foundations – identified for outreach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196D99C1" w14:textId="77777777" w:rsidR="00565283" w:rsidRPr="00565283" w:rsidRDefault="00565283" w:rsidP="00565283">
      <w:pPr>
        <w:numPr>
          <w:ilvl w:val="0"/>
          <w:numId w:val="6"/>
        </w:numPr>
      </w:pPr>
      <w:r w:rsidRPr="00565283">
        <w:rPr>
          <w:b/>
          <w:bCs/>
        </w:rPr>
        <w:t>We have a plan to cultivate new donors and to steward existing ones for the long term.</w:t>
      </w:r>
      <w:r w:rsidRPr="00565283">
        <w:t xml:space="preserve"> </w:t>
      </w:r>
      <w:r w:rsidRPr="00565283">
        <w:rPr>
          <w:i/>
          <w:iCs/>
        </w:rPr>
        <w:t>(This could include regular communication, meetings, or thank-you touches to build relationships.)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1CB04740" w14:textId="1340C1C3" w:rsidR="00565283" w:rsidRPr="00565283" w:rsidRDefault="00565283" w:rsidP="00565283">
      <w:pPr>
        <w:numPr>
          <w:ilvl w:val="0"/>
          <w:numId w:val="6"/>
        </w:numPr>
      </w:pPr>
      <w:r w:rsidRPr="00565283">
        <w:rPr>
          <w:b/>
          <w:bCs/>
        </w:rPr>
        <w:t>Our funding comes from a variety of sources (not overly reliant on any single donor or grant).</w:t>
      </w:r>
      <w:r w:rsidRPr="00565283">
        <w:t xml:space="preserve"> </w:t>
      </w:r>
      <w:r w:rsidRPr="00565283">
        <w:rPr>
          <w:i/>
          <w:iCs/>
        </w:rPr>
        <w:t xml:space="preserve">(Diversifying funding – exploring new donors, grants, </w:t>
      </w:r>
      <w:r>
        <w:rPr>
          <w:i/>
          <w:iCs/>
        </w:rPr>
        <w:t xml:space="preserve">partnerships, </w:t>
      </w:r>
      <w:r w:rsidRPr="00565283">
        <w:rPr>
          <w:i/>
          <w:iCs/>
        </w:rPr>
        <w:t>or revenue streams – helps ensure financial stability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31AA1654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5. Storytelling Tools</w:t>
      </w:r>
    </w:p>
    <w:p w14:paraId="65275135" w14:textId="0A2F34E0" w:rsidR="00565283" w:rsidRPr="00565283" w:rsidRDefault="00565283" w:rsidP="00565283">
      <w:pPr>
        <w:numPr>
          <w:ilvl w:val="0"/>
          <w:numId w:val="7"/>
        </w:numPr>
      </w:pPr>
      <w:r w:rsidRPr="00565283">
        <w:rPr>
          <w:b/>
          <w:bCs/>
        </w:rPr>
        <w:t>We have compelling success stories or examples that demonstrate our impact and inspire support.</w:t>
      </w:r>
      <w:r w:rsidRPr="00565283">
        <w:t xml:space="preserve"> </w:t>
      </w:r>
      <w:r w:rsidRPr="00565283">
        <w:rPr>
          <w:i/>
          <w:iCs/>
        </w:rPr>
        <w:t>(Storytelling is at the heart of effective fundraising – personal narratives and testimonials can connect emotionally with donors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30633D0A" w14:textId="77777777" w:rsidR="00565283" w:rsidRPr="00565283" w:rsidRDefault="00565283" w:rsidP="00565283">
      <w:pPr>
        <w:numPr>
          <w:ilvl w:val="0"/>
          <w:numId w:val="7"/>
        </w:numPr>
      </w:pPr>
      <w:r w:rsidRPr="00565283">
        <w:rPr>
          <w:b/>
          <w:bCs/>
        </w:rPr>
        <w:t>Our communication materials (website, brochures, social media) effectively tell our story and mission.</w:t>
      </w:r>
      <w:r w:rsidRPr="00565283">
        <w:t xml:space="preserve"> </w:t>
      </w:r>
      <w:r w:rsidRPr="00565283">
        <w:rPr>
          <w:i/>
          <w:iCs/>
        </w:rPr>
        <w:t>(They clearly communicate who we are, what we do, and why it matters to the community.)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6A2979DA" w14:textId="0C8353A6" w:rsidR="00565283" w:rsidRPr="00565283" w:rsidRDefault="00565283" w:rsidP="00565283">
      <w:pPr>
        <w:numPr>
          <w:ilvl w:val="0"/>
          <w:numId w:val="7"/>
        </w:numPr>
      </w:pPr>
      <w:r w:rsidRPr="00565283">
        <w:rPr>
          <w:b/>
          <w:bCs/>
        </w:rPr>
        <w:t xml:space="preserve">We tailor our message for different audiences, showing </w:t>
      </w:r>
      <w:r>
        <w:rPr>
          <w:b/>
          <w:bCs/>
        </w:rPr>
        <w:t xml:space="preserve">donors/funders </w:t>
      </w:r>
      <w:r w:rsidRPr="00565283">
        <w:rPr>
          <w:b/>
          <w:bCs/>
        </w:rPr>
        <w:t>the tangible impact of their support.</w:t>
      </w:r>
      <w:r w:rsidRPr="00565283">
        <w:t xml:space="preserve"> </w:t>
      </w:r>
      <w:r w:rsidRPr="00565283">
        <w:rPr>
          <w:i/>
          <w:iCs/>
        </w:rPr>
        <w:t>(For example, using data and visuals for some funders, or heartfelt stories for community donors.)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54349C80" w14:textId="77777777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t>6. Adaptive Leadership</w:t>
      </w:r>
    </w:p>
    <w:p w14:paraId="0164C175" w14:textId="21896BE0" w:rsidR="00565283" w:rsidRPr="00565283" w:rsidRDefault="00565283" w:rsidP="00565283">
      <w:pPr>
        <w:numPr>
          <w:ilvl w:val="0"/>
          <w:numId w:val="8"/>
        </w:numPr>
      </w:pPr>
      <w:r w:rsidRPr="00565283">
        <w:rPr>
          <w:b/>
          <w:bCs/>
        </w:rPr>
        <w:t>Our leadership (staff and board) encourages trying new fundraising approaches and learning from the results.</w:t>
      </w:r>
      <w:r w:rsidRPr="00565283">
        <w:t xml:space="preserve"> </w:t>
      </w:r>
      <w:r w:rsidRPr="00565283">
        <w:rPr>
          <w:i/>
          <w:iCs/>
        </w:rPr>
        <w:t>(Adaptive leaders empower teams to experiment, take calculated risks, and learn from successes and failures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115E48A6" w14:textId="2239FB94" w:rsidR="00565283" w:rsidRPr="00565283" w:rsidRDefault="00565283" w:rsidP="00565283">
      <w:pPr>
        <w:numPr>
          <w:ilvl w:val="0"/>
          <w:numId w:val="8"/>
        </w:numPr>
      </w:pPr>
      <w:r w:rsidRPr="00565283">
        <w:rPr>
          <w:b/>
          <w:bCs/>
        </w:rPr>
        <w:t>We regularly reflect on our fundraising efforts (what’s working or not) and adjust course as needed.</w:t>
      </w:r>
      <w:r w:rsidRPr="00565283">
        <w:t xml:space="preserve"> </w:t>
      </w:r>
      <w:r w:rsidRPr="00565283">
        <w:rPr>
          <w:i/>
          <w:iCs/>
        </w:rPr>
        <w:t>(In fundraising, flexibility and timely adjustments are key when things don’t go as planned</w:t>
      </w:r>
      <w:r>
        <w:rPr>
          <w:i/>
          <w:iCs/>
        </w:rPr>
        <w:t>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6915C30C" w14:textId="77777777" w:rsidR="00565283" w:rsidRPr="00565283" w:rsidRDefault="00565283" w:rsidP="00565283">
      <w:pPr>
        <w:numPr>
          <w:ilvl w:val="0"/>
          <w:numId w:val="8"/>
        </w:numPr>
      </w:pPr>
      <w:r w:rsidRPr="00565283">
        <w:rPr>
          <w:b/>
          <w:bCs/>
        </w:rPr>
        <w:t>We invest in building our team’s fundraising skills and knowledge.</w:t>
      </w:r>
      <w:r w:rsidRPr="00565283">
        <w:t xml:space="preserve"> </w:t>
      </w:r>
      <w:r w:rsidRPr="00565283">
        <w:rPr>
          <w:i/>
          <w:iCs/>
        </w:rPr>
        <w:t>(For example, through training, mentoring, or sharing best practices – fostering a culture of continuous improvement.)</w:t>
      </w:r>
      <w:r w:rsidRPr="00565283">
        <w:br/>
      </w:r>
      <w:r w:rsidRPr="00565283">
        <w:rPr>
          <w:b/>
          <w:bCs/>
        </w:rPr>
        <w:t>Rating (1–5):</w:t>
      </w:r>
      <w:r w:rsidRPr="00565283">
        <w:t xml:space="preserve"> ____     </w:t>
      </w:r>
      <w:r w:rsidRPr="00565283">
        <w:rPr>
          <w:b/>
          <w:bCs/>
        </w:rPr>
        <w:t>Notes:</w:t>
      </w:r>
      <w:r w:rsidRPr="00565283">
        <w:t xml:space="preserve"> __________________________________________________</w:t>
      </w:r>
    </w:p>
    <w:p w14:paraId="40EE3BCB" w14:textId="77777777" w:rsidR="00565283" w:rsidRDefault="00565283" w:rsidP="00565283">
      <w:pPr>
        <w:rPr>
          <w:b/>
          <w:bCs/>
        </w:rPr>
      </w:pPr>
    </w:p>
    <w:p w14:paraId="459288BC" w14:textId="77777777" w:rsidR="00565283" w:rsidRDefault="00565283" w:rsidP="00565283">
      <w:pPr>
        <w:rPr>
          <w:b/>
          <w:bCs/>
        </w:rPr>
      </w:pPr>
    </w:p>
    <w:p w14:paraId="02E8984A" w14:textId="0E78A65A" w:rsidR="00565283" w:rsidRPr="00565283" w:rsidRDefault="00565283" w:rsidP="00565283">
      <w:pPr>
        <w:rPr>
          <w:b/>
          <w:bCs/>
        </w:rPr>
      </w:pPr>
      <w:r w:rsidRPr="00565283">
        <w:rPr>
          <w:b/>
          <w:bCs/>
        </w:rPr>
        <w:lastRenderedPageBreak/>
        <w:t>30-Day Experiment – Next Step</w:t>
      </w:r>
    </w:p>
    <w:p w14:paraId="3027007D" w14:textId="77777777" w:rsidR="00565283" w:rsidRPr="00565283" w:rsidRDefault="00565283" w:rsidP="00565283">
      <w:r w:rsidRPr="00565283">
        <w:rPr>
          <w:b/>
          <w:bCs/>
        </w:rPr>
        <w:t>Based on our self-assessment above, one practical action we commit to take in the next 30 days to strengthen our fund development capacity is:</w:t>
      </w:r>
    </w:p>
    <w:p w14:paraId="634A7854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318A93A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6B2F61F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2C4E86CB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565283">
        <w:br/>
      </w:r>
      <w:r>
        <w:rPr>
          <w:noProof/>
        </w:rPr>
      </w:r>
      <w:r w:rsidR="0084602B">
        <w:rPr>
          <w:noProof/>
        </w:rPr>
        <w:pict w14:anchorId="4694D28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2DD2F41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1A6A900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0B52A25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211EB06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54F7B7E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0541954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24034E8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043A89FE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1CB58C1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4118A0E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46AE23BB" w14:textId="77777777" w:rsidR="00565283" w:rsidRPr="00565283" w:rsidRDefault="0084602B" w:rsidP="00565283">
      <w:r>
        <w:rPr>
          <w:noProof/>
        </w:rPr>
      </w:r>
      <w:r w:rsidR="0084602B">
        <w:rPr>
          <w:noProof/>
        </w:rPr>
        <w:pict w14:anchorId="219D9846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AF712D8" w14:textId="2A98E4F8" w:rsidR="00565283" w:rsidRPr="00565283" w:rsidRDefault="00565283" w:rsidP="00565283"/>
    <w:p w14:paraId="339ACAA0" w14:textId="21947D6C" w:rsidR="00565283" w:rsidRPr="00565283" w:rsidRDefault="00565283" w:rsidP="00565283">
      <w:r w:rsidRPr="00565283">
        <w:rPr>
          <w:i/>
          <w:iCs/>
        </w:rPr>
        <w:t>(Describe a small experiment or next step your team will take — for instance, trying a new fundraising idea, improving a process, or reaching out to a partner — and how you will know if it’s making a difference.)</w:t>
      </w:r>
      <w:r>
        <w:rPr>
          <w:i/>
          <w:iCs/>
        </w:rPr>
        <w:br/>
      </w:r>
    </w:p>
    <w:p w14:paraId="545C3404" w14:textId="77777777" w:rsidR="00565283" w:rsidRDefault="00565283" w:rsidP="00565283">
      <w:pPr>
        <w:rPr>
          <w:b/>
          <w:bCs/>
        </w:rPr>
      </w:pPr>
      <w:r w:rsidRPr="00565283">
        <w:rPr>
          <w:b/>
          <w:bCs/>
        </w:rPr>
        <w:t>Together, let’s commit to this 30-day experiment and plan to share our progress!</w:t>
      </w:r>
    </w:p>
    <w:p w14:paraId="03E83F0E" w14:textId="77777777" w:rsidR="00565283" w:rsidRPr="00565283" w:rsidRDefault="00565283" w:rsidP="00565283"/>
    <w:p w14:paraId="704459C3" w14:textId="560D4DF1" w:rsidR="00565283" w:rsidRPr="00565283" w:rsidRDefault="00565283" w:rsidP="00565283">
      <w:r w:rsidRPr="00565283">
        <w:rPr>
          <w:b/>
          <w:bCs/>
        </w:rPr>
        <w:t>Sources:</w:t>
      </w:r>
      <w:r w:rsidRPr="00565283">
        <w:t xml:space="preserve"> The self-assessment domains and prompts are informed by nonprofit capacity-building best practices and fundraising literature</w:t>
      </w:r>
      <w:r>
        <w:t xml:space="preserve">: </w:t>
      </w:r>
      <w:r>
        <w:br/>
      </w:r>
      <w:hyperlink r:id="rId5" w:anchor=":~:text=1,the%20general%20public%2C%20and%20amongst" w:tgtFrame="_blank" w:history="1">
        <w:r w:rsidRPr="00565283">
          <w:rPr>
            <w:rStyle w:val="Hyperlink"/>
          </w:rPr>
          <w:t>saadandshaw.com</w:t>
        </w:r>
      </w:hyperlink>
      <w:r>
        <w:br/>
      </w:r>
      <w:hyperlink r:id="rId6" w:anchor=":~:text=positively%20in%20the%20past%20to,number%20of%20active%20board%20members" w:tgtFrame="_blank" w:history="1">
        <w:r w:rsidRPr="00565283">
          <w:rPr>
            <w:rStyle w:val="Hyperlink"/>
          </w:rPr>
          <w:t>texascasa.org</w:t>
        </w:r>
      </w:hyperlink>
      <w:r>
        <w:br/>
      </w:r>
      <w:hyperlink r:id="rId7" w:anchor=":~:text=6" w:tgtFrame="_blank" w:history="1">
        <w:r w:rsidRPr="00565283">
          <w:rPr>
            <w:rStyle w:val="Hyperlink"/>
          </w:rPr>
          <w:t>nonprofitfundraising.com</w:t>
        </w:r>
      </w:hyperlink>
      <w:r>
        <w:br/>
      </w:r>
      <w:hyperlink r:id="rId8" w:anchor=":~:text=internal%20growth.%20Non,ultimately%20enhancing%20the%20organization%E2%80%99s%20impact" w:tgtFrame="_blank" w:history="1">
        <w:r w:rsidRPr="00565283">
          <w:rPr>
            <w:rStyle w:val="Hyperlink"/>
          </w:rPr>
          <w:t>linkedin.com</w:t>
        </w:r>
      </w:hyperlink>
      <w:r w:rsidRPr="00565283">
        <w:t>, adapted for grassroots organizations.</w:t>
      </w:r>
    </w:p>
    <w:p w14:paraId="4584FEA9" w14:textId="7F0658D3" w:rsidR="00B9575E" w:rsidRPr="00565283" w:rsidRDefault="00B9575E" w:rsidP="00565283"/>
    <w:sectPr w:rsidR="00B9575E" w:rsidRPr="0056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5735"/>
    <w:multiLevelType w:val="multilevel"/>
    <w:tmpl w:val="BF6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A73B6"/>
    <w:multiLevelType w:val="multilevel"/>
    <w:tmpl w:val="BC9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90921"/>
    <w:multiLevelType w:val="multilevel"/>
    <w:tmpl w:val="E876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2763C"/>
    <w:multiLevelType w:val="multilevel"/>
    <w:tmpl w:val="DC5EB7B0"/>
    <w:lvl w:ilvl="0">
      <w:start w:val="1"/>
      <w:numFmt w:val="decimal"/>
      <w:lvlText w:val="%1"/>
      <w:lvlJc w:val="left"/>
      <w:pPr>
        <w:ind w:left="979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FD20A8"/>
    <w:multiLevelType w:val="multilevel"/>
    <w:tmpl w:val="1EB218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164064"/>
    <w:multiLevelType w:val="multilevel"/>
    <w:tmpl w:val="FBA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359F5"/>
    <w:multiLevelType w:val="multilevel"/>
    <w:tmpl w:val="A9A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87E4B"/>
    <w:multiLevelType w:val="multilevel"/>
    <w:tmpl w:val="918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8559">
    <w:abstractNumId w:val="3"/>
  </w:num>
  <w:num w:numId="2" w16cid:durableId="1466435828">
    <w:abstractNumId w:val="4"/>
  </w:num>
  <w:num w:numId="3" w16cid:durableId="99181072">
    <w:abstractNumId w:val="2"/>
  </w:num>
  <w:num w:numId="4" w16cid:durableId="826089078">
    <w:abstractNumId w:val="6"/>
  </w:num>
  <w:num w:numId="5" w16cid:durableId="1562323282">
    <w:abstractNumId w:val="5"/>
  </w:num>
  <w:num w:numId="6" w16cid:durableId="1148664082">
    <w:abstractNumId w:val="7"/>
  </w:num>
  <w:num w:numId="7" w16cid:durableId="1868441199">
    <w:abstractNumId w:val="1"/>
  </w:num>
  <w:num w:numId="8" w16cid:durableId="14832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83"/>
    <w:rsid w:val="00000A8F"/>
    <w:rsid w:val="00025C89"/>
    <w:rsid w:val="00074E97"/>
    <w:rsid w:val="000952F0"/>
    <w:rsid w:val="00096585"/>
    <w:rsid w:val="000A21C3"/>
    <w:rsid w:val="000D72B8"/>
    <w:rsid w:val="00104259"/>
    <w:rsid w:val="00106B24"/>
    <w:rsid w:val="00144DD3"/>
    <w:rsid w:val="0015306D"/>
    <w:rsid w:val="001639D3"/>
    <w:rsid w:val="00197C7C"/>
    <w:rsid w:val="001A57E8"/>
    <w:rsid w:val="001B1CC1"/>
    <w:rsid w:val="001E70B3"/>
    <w:rsid w:val="001F6AE9"/>
    <w:rsid w:val="00212ADB"/>
    <w:rsid w:val="00221F36"/>
    <w:rsid w:val="0022580F"/>
    <w:rsid w:val="00233B4B"/>
    <w:rsid w:val="0025381C"/>
    <w:rsid w:val="00262646"/>
    <w:rsid w:val="002948BD"/>
    <w:rsid w:val="002B1FA0"/>
    <w:rsid w:val="002D4835"/>
    <w:rsid w:val="00300F66"/>
    <w:rsid w:val="00325E1F"/>
    <w:rsid w:val="0032765F"/>
    <w:rsid w:val="00336788"/>
    <w:rsid w:val="003506D3"/>
    <w:rsid w:val="003961EE"/>
    <w:rsid w:val="003C5A7D"/>
    <w:rsid w:val="00410D9A"/>
    <w:rsid w:val="00423754"/>
    <w:rsid w:val="00432D9D"/>
    <w:rsid w:val="00446B7D"/>
    <w:rsid w:val="0048263C"/>
    <w:rsid w:val="00491A80"/>
    <w:rsid w:val="004C6ECB"/>
    <w:rsid w:val="004D6B33"/>
    <w:rsid w:val="00514E74"/>
    <w:rsid w:val="0053178F"/>
    <w:rsid w:val="00531B6B"/>
    <w:rsid w:val="00562AC4"/>
    <w:rsid w:val="00565283"/>
    <w:rsid w:val="00592A5E"/>
    <w:rsid w:val="005A676B"/>
    <w:rsid w:val="005B2389"/>
    <w:rsid w:val="005D6F0E"/>
    <w:rsid w:val="00607749"/>
    <w:rsid w:val="00640FE7"/>
    <w:rsid w:val="00652987"/>
    <w:rsid w:val="0067243F"/>
    <w:rsid w:val="006D56A6"/>
    <w:rsid w:val="006E36DA"/>
    <w:rsid w:val="006F39B4"/>
    <w:rsid w:val="00743696"/>
    <w:rsid w:val="007659BA"/>
    <w:rsid w:val="0076631F"/>
    <w:rsid w:val="007875E7"/>
    <w:rsid w:val="00787D71"/>
    <w:rsid w:val="007B140D"/>
    <w:rsid w:val="007C7EDD"/>
    <w:rsid w:val="007D7BBD"/>
    <w:rsid w:val="008205DF"/>
    <w:rsid w:val="0084602B"/>
    <w:rsid w:val="00860D50"/>
    <w:rsid w:val="00875B9D"/>
    <w:rsid w:val="008874BE"/>
    <w:rsid w:val="008A6699"/>
    <w:rsid w:val="008B2057"/>
    <w:rsid w:val="008F34EA"/>
    <w:rsid w:val="00903684"/>
    <w:rsid w:val="00921B5B"/>
    <w:rsid w:val="00977C22"/>
    <w:rsid w:val="0098525E"/>
    <w:rsid w:val="009A1638"/>
    <w:rsid w:val="009B3D4C"/>
    <w:rsid w:val="009D27D3"/>
    <w:rsid w:val="009D67A0"/>
    <w:rsid w:val="00A27E5D"/>
    <w:rsid w:val="00A304CD"/>
    <w:rsid w:val="00A522CA"/>
    <w:rsid w:val="00A65E18"/>
    <w:rsid w:val="00A679E9"/>
    <w:rsid w:val="00AD2C50"/>
    <w:rsid w:val="00AE6E2A"/>
    <w:rsid w:val="00AF67F9"/>
    <w:rsid w:val="00B031C8"/>
    <w:rsid w:val="00B21C25"/>
    <w:rsid w:val="00B22CD5"/>
    <w:rsid w:val="00B358EB"/>
    <w:rsid w:val="00B413BF"/>
    <w:rsid w:val="00B47E7E"/>
    <w:rsid w:val="00B83F2C"/>
    <w:rsid w:val="00B85AE5"/>
    <w:rsid w:val="00B8791C"/>
    <w:rsid w:val="00B934C2"/>
    <w:rsid w:val="00B9575E"/>
    <w:rsid w:val="00BB6B6E"/>
    <w:rsid w:val="00BD408D"/>
    <w:rsid w:val="00BD53FA"/>
    <w:rsid w:val="00BE7E1C"/>
    <w:rsid w:val="00BF222C"/>
    <w:rsid w:val="00C47795"/>
    <w:rsid w:val="00C52DC0"/>
    <w:rsid w:val="00C748A3"/>
    <w:rsid w:val="00CA0982"/>
    <w:rsid w:val="00CE3123"/>
    <w:rsid w:val="00CE7AA7"/>
    <w:rsid w:val="00CF0DF5"/>
    <w:rsid w:val="00D02F8A"/>
    <w:rsid w:val="00D06C88"/>
    <w:rsid w:val="00D10D4C"/>
    <w:rsid w:val="00D16398"/>
    <w:rsid w:val="00D26BD7"/>
    <w:rsid w:val="00D35EA2"/>
    <w:rsid w:val="00D36622"/>
    <w:rsid w:val="00D4278A"/>
    <w:rsid w:val="00D52E33"/>
    <w:rsid w:val="00D64A80"/>
    <w:rsid w:val="00D70856"/>
    <w:rsid w:val="00D71B0B"/>
    <w:rsid w:val="00D768DF"/>
    <w:rsid w:val="00DA3194"/>
    <w:rsid w:val="00DB287A"/>
    <w:rsid w:val="00DC0169"/>
    <w:rsid w:val="00DC2736"/>
    <w:rsid w:val="00DD1911"/>
    <w:rsid w:val="00DD68AF"/>
    <w:rsid w:val="00DE3BF2"/>
    <w:rsid w:val="00DF24FE"/>
    <w:rsid w:val="00DF29EB"/>
    <w:rsid w:val="00E058B5"/>
    <w:rsid w:val="00E16261"/>
    <w:rsid w:val="00E24878"/>
    <w:rsid w:val="00E82CD2"/>
    <w:rsid w:val="00E861EC"/>
    <w:rsid w:val="00EA0176"/>
    <w:rsid w:val="00F16A15"/>
    <w:rsid w:val="00F269AE"/>
    <w:rsid w:val="00F64EB3"/>
    <w:rsid w:val="00F6675E"/>
    <w:rsid w:val="00FA13C3"/>
    <w:rsid w:val="00FA3B9C"/>
    <w:rsid w:val="00FD6CBB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A005A1D"/>
  <w15:chartTrackingRefBased/>
  <w15:docId w15:val="{6F93C2F4-73AC-7E4D-992B-EDEE5F00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6F0E"/>
    <w:pPr>
      <w:keepNext/>
      <w:keepLines/>
      <w:numPr>
        <w:numId w:val="2"/>
      </w:numPr>
      <w:spacing w:before="360" w:after="80" w:line="259" w:lineRule="auto"/>
      <w:ind w:left="432" w:hanging="432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D56A6"/>
    <w:rPr>
      <w:rFonts w:asciiTheme="minorHAnsi" w:hAnsiTheme="minorHAnsi"/>
      <w:b/>
      <w:bCs/>
      <w:i/>
      <w:iCs/>
      <w:color w:val="215E99" w:themeColor="text2" w:themeTint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2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2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52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2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52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embracing-change-why-adaptive-leadership-essential-rodger-moran-mba-g2swc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nonprofitfundraising.com/top-9-nonprofit-management-tips-for-2025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ascasa.org/wp-content/uploads/2020/10/Part-2-Texas-CASA-Growth-Planning-Toolkit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aadandshaw.com/capacity-infrastructu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F398438F2974DB1EEA8DE595B046C" ma:contentTypeVersion="20" ma:contentTypeDescription="Create a new document." ma:contentTypeScope="" ma:versionID="d074f5a7e272c8456ab1ade3159143e4">
  <xsd:schema xmlns:xsd="http://www.w3.org/2001/XMLSchema" xmlns:xs="http://www.w3.org/2001/XMLSchema" xmlns:p="http://schemas.microsoft.com/office/2006/metadata/properties" xmlns:ns2="bd28a7e8-9af7-452a-8762-656084c0ab8d" xmlns:ns3="9c818674-1212-4e84-914d-e4d4f1296058" xmlns:ns4="27b10c13-73e3-447d-933c-8a99a2fbcdb7" targetNamespace="http://schemas.microsoft.com/office/2006/metadata/properties" ma:root="true" ma:fieldsID="f4253403601336fdef1d02c1399ef904" ns2:_="" ns3:_="" ns4:_="">
    <xsd:import namespace="bd28a7e8-9af7-452a-8762-656084c0ab8d"/>
    <xsd:import namespace="9c818674-1212-4e84-914d-e4d4f1296058"/>
    <xsd:import namespace="27b10c13-73e3-447d-933c-8a99a2fb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8a7e8-9af7-452a-8762-656084c0a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8674-1212-4e84-914d-e4d4f1296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0c13-73e3-447d-933c-8a99a2fbcd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7d9074-eda7-4c64-8993-dc1de1dd2f61}" ma:internalName="TaxCatchAll" ma:showField="CatchAllData" ma:web="27b10c13-73e3-447d-933c-8a99a2fb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8a7e8-9af7-452a-8762-656084c0ab8d">
      <Terms xmlns="http://schemas.microsoft.com/office/infopath/2007/PartnerControls"/>
    </lcf76f155ced4ddcb4097134ff3c332f>
    <TaxCatchAll xmlns="27b10c13-73e3-447d-933c-8a99a2fbcdb7" xsi:nil="true"/>
    <_Flow_SignoffStatus xmlns="bd28a7e8-9af7-452a-8762-656084c0ab8d" xsi:nil="true"/>
  </documentManagement>
</p:properties>
</file>

<file path=customXml/itemProps1.xml><?xml version="1.0" encoding="utf-8"?>
<ds:datastoreItem xmlns:ds="http://schemas.openxmlformats.org/officeDocument/2006/customXml" ds:itemID="{CBAFAC01-EEC3-43E1-9883-843883C73D33}"/>
</file>

<file path=customXml/itemProps2.xml><?xml version="1.0" encoding="utf-8"?>
<ds:datastoreItem xmlns:ds="http://schemas.openxmlformats.org/officeDocument/2006/customXml" ds:itemID="{C196D25F-19B1-433E-8924-86CA71BFAF7B}"/>
</file>

<file path=customXml/itemProps3.xml><?xml version="1.0" encoding="utf-8"?>
<ds:datastoreItem xmlns:ds="http://schemas.openxmlformats.org/officeDocument/2006/customXml" ds:itemID="{C1EE6157-636C-4086-89D4-D09773A15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1022</Words>
  <Characters>5831</Characters>
  <Application>Microsoft Office Word</Application>
  <DocSecurity>4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Esenwein, Silke</dc:creator>
  <cp:keywords/>
  <dc:description/>
  <cp:lastModifiedBy>Combs, Cara Beth</cp:lastModifiedBy>
  <cp:revision>2</cp:revision>
  <dcterms:created xsi:type="dcterms:W3CDTF">2025-07-16T14:41:00Z</dcterms:created>
  <dcterms:modified xsi:type="dcterms:W3CDTF">2025-07-16T14:41:00Z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0x010100E32F398438F2974DB1EEA8DE595B046C</vt:lpwstr>
  </property>
</Properties>
</file>